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F2" w:rsidRPr="005364F2" w:rsidRDefault="005364F2">
      <w:pPr>
        <w:rPr>
          <w:i/>
          <w:lang w:val="en-US"/>
        </w:rPr>
      </w:pPr>
      <w:proofErr w:type="spellStart"/>
      <w:r w:rsidRPr="005364F2">
        <w:rPr>
          <w:rStyle w:val="TitoloCarattere"/>
          <w:lang w:val="en-US"/>
        </w:rPr>
        <w:t>Amartya</w:t>
      </w:r>
      <w:proofErr w:type="spellEnd"/>
      <w:r w:rsidRPr="005364F2">
        <w:rPr>
          <w:rStyle w:val="TitoloCarattere"/>
          <w:lang w:val="en-US"/>
        </w:rPr>
        <w:t xml:space="preserve"> Kumar </w:t>
      </w:r>
      <w:proofErr w:type="spellStart"/>
      <w:r w:rsidRPr="005364F2">
        <w:rPr>
          <w:rStyle w:val="TitoloCarattere"/>
          <w:lang w:val="en-US"/>
        </w:rPr>
        <w:t>Sen</w:t>
      </w:r>
      <w:proofErr w:type="spellEnd"/>
      <w:r w:rsidRPr="00AC4533">
        <w:rPr>
          <w:rStyle w:val="TitoloCarattere"/>
          <w:lang w:val="en-US"/>
        </w:rPr>
        <w:t>,</w:t>
      </w:r>
      <w:r w:rsidRPr="005364F2">
        <w:rPr>
          <w:rFonts w:ascii="Arial" w:hAnsi="Arial" w:cs="Arial"/>
          <w:color w:val="252525"/>
          <w:sz w:val="21"/>
          <w:szCs w:val="21"/>
          <w:shd w:val="clear" w:color="auto" w:fill="FFFFFF"/>
          <w:lang w:val="en-US"/>
        </w:rPr>
        <w:t xml:space="preserve"> </w:t>
      </w:r>
      <w:r w:rsidRPr="005364F2">
        <w:rPr>
          <w:rFonts w:ascii="Arial" w:hAnsi="Arial" w:cs="Arial"/>
          <w:i/>
          <w:sz w:val="21"/>
          <w:szCs w:val="21"/>
          <w:shd w:val="clear" w:color="auto" w:fill="FFFFFF"/>
          <w:lang w:val="en-US"/>
        </w:rPr>
        <w:t>an</w:t>
      </w:r>
      <w:r w:rsidRPr="005364F2">
        <w:rPr>
          <w:rStyle w:val="apple-converted-space"/>
          <w:rFonts w:ascii="Arial" w:hAnsi="Arial" w:cs="Arial"/>
          <w:i/>
          <w:sz w:val="21"/>
          <w:szCs w:val="21"/>
          <w:shd w:val="clear" w:color="auto" w:fill="FFFFFF"/>
          <w:lang w:val="en-US"/>
        </w:rPr>
        <w:t> </w:t>
      </w:r>
      <w:hyperlink r:id="rId8" w:tooltip="Indian people" w:history="1">
        <w:r w:rsidRPr="005364F2">
          <w:rPr>
            <w:rStyle w:val="Collegamentoipertestuale"/>
            <w:rFonts w:ascii="Arial" w:hAnsi="Arial" w:cs="Arial"/>
            <w:i/>
            <w:color w:val="auto"/>
            <w:sz w:val="21"/>
            <w:szCs w:val="21"/>
            <w:u w:val="none"/>
            <w:shd w:val="clear" w:color="auto" w:fill="FFFFFF"/>
            <w:lang w:val="en-US"/>
          </w:rPr>
          <w:t>Indian</w:t>
        </w:r>
      </w:hyperlink>
      <w:r w:rsidRPr="005364F2">
        <w:rPr>
          <w:rStyle w:val="apple-converted-space"/>
          <w:rFonts w:ascii="Arial" w:hAnsi="Arial" w:cs="Arial"/>
          <w:i/>
          <w:sz w:val="21"/>
          <w:szCs w:val="21"/>
          <w:shd w:val="clear" w:color="auto" w:fill="FFFFFF"/>
          <w:lang w:val="en-US"/>
        </w:rPr>
        <w:t> </w:t>
      </w:r>
      <w:r w:rsidRPr="005364F2">
        <w:rPr>
          <w:rFonts w:ascii="Arial" w:hAnsi="Arial" w:cs="Arial"/>
          <w:i/>
          <w:sz w:val="21"/>
          <w:szCs w:val="21"/>
          <w:shd w:val="clear" w:color="auto" w:fill="FFFFFF"/>
          <w:lang w:val="en-US"/>
        </w:rPr>
        <w:t>economist and philosopher of Bengali. He was awarded the</w:t>
      </w:r>
      <w:r w:rsidRPr="005364F2">
        <w:rPr>
          <w:rStyle w:val="apple-converted-space"/>
          <w:rFonts w:ascii="Arial" w:hAnsi="Arial" w:cs="Arial"/>
          <w:i/>
          <w:sz w:val="21"/>
          <w:szCs w:val="21"/>
          <w:shd w:val="clear" w:color="auto" w:fill="FFFFFF"/>
          <w:lang w:val="en-US"/>
        </w:rPr>
        <w:t> </w:t>
      </w:r>
      <w:hyperlink r:id="rId9" w:tooltip="Nobel Memorial Prize in Economic Sciences" w:history="1">
        <w:r w:rsidRPr="005364F2">
          <w:rPr>
            <w:rStyle w:val="Collegamentoipertestuale"/>
            <w:rFonts w:ascii="Arial" w:hAnsi="Arial" w:cs="Arial"/>
            <w:i/>
            <w:color w:val="auto"/>
            <w:sz w:val="21"/>
            <w:szCs w:val="21"/>
            <w:u w:val="none"/>
            <w:shd w:val="clear" w:color="auto" w:fill="FFFFFF"/>
            <w:lang w:val="en-US"/>
          </w:rPr>
          <w:t>Nobel Memorial Prize in Economic Sciences</w:t>
        </w:r>
      </w:hyperlink>
      <w:r w:rsidRPr="005364F2">
        <w:rPr>
          <w:rStyle w:val="apple-converted-space"/>
          <w:rFonts w:ascii="Arial" w:hAnsi="Arial" w:cs="Arial"/>
          <w:i/>
          <w:sz w:val="21"/>
          <w:szCs w:val="21"/>
          <w:shd w:val="clear" w:color="auto" w:fill="FFFFFF"/>
          <w:lang w:val="en-US"/>
        </w:rPr>
        <w:t> </w:t>
      </w:r>
      <w:r w:rsidRPr="005364F2">
        <w:rPr>
          <w:rFonts w:ascii="Arial" w:hAnsi="Arial" w:cs="Arial"/>
          <w:i/>
          <w:sz w:val="21"/>
          <w:szCs w:val="21"/>
          <w:shd w:val="clear" w:color="auto" w:fill="FFFFFF"/>
          <w:lang w:val="en-US"/>
        </w:rPr>
        <w:t>in 1998 and</w:t>
      </w:r>
      <w:r w:rsidRPr="005364F2">
        <w:rPr>
          <w:rStyle w:val="apple-converted-space"/>
          <w:rFonts w:ascii="Arial" w:hAnsi="Arial" w:cs="Arial"/>
          <w:i/>
          <w:sz w:val="21"/>
          <w:szCs w:val="21"/>
          <w:shd w:val="clear" w:color="auto" w:fill="FFFFFF"/>
          <w:lang w:val="en-US"/>
        </w:rPr>
        <w:t> </w:t>
      </w:r>
      <w:hyperlink r:id="rId10" w:tooltip="Bharat Ratna" w:history="1">
        <w:r w:rsidRPr="005364F2">
          <w:rPr>
            <w:rStyle w:val="Collegamentoipertestuale"/>
            <w:rFonts w:ascii="Arial" w:hAnsi="Arial" w:cs="Arial"/>
            <w:i/>
            <w:color w:val="auto"/>
            <w:sz w:val="21"/>
            <w:szCs w:val="21"/>
            <w:u w:val="none"/>
            <w:shd w:val="clear" w:color="auto" w:fill="FFFFFF"/>
            <w:lang w:val="en-US"/>
          </w:rPr>
          <w:t xml:space="preserve">Bharat </w:t>
        </w:r>
        <w:proofErr w:type="spellStart"/>
        <w:r w:rsidRPr="005364F2">
          <w:rPr>
            <w:rStyle w:val="Collegamentoipertestuale"/>
            <w:rFonts w:ascii="Arial" w:hAnsi="Arial" w:cs="Arial"/>
            <w:i/>
            <w:color w:val="auto"/>
            <w:sz w:val="21"/>
            <w:szCs w:val="21"/>
            <w:u w:val="none"/>
            <w:shd w:val="clear" w:color="auto" w:fill="FFFFFF"/>
            <w:lang w:val="en-US"/>
          </w:rPr>
          <w:t>Ratna</w:t>
        </w:r>
        <w:proofErr w:type="spellEnd"/>
      </w:hyperlink>
      <w:r w:rsidRPr="005364F2">
        <w:rPr>
          <w:rStyle w:val="apple-converted-space"/>
          <w:rFonts w:ascii="Arial" w:hAnsi="Arial" w:cs="Arial"/>
          <w:i/>
          <w:sz w:val="21"/>
          <w:szCs w:val="21"/>
          <w:shd w:val="clear" w:color="auto" w:fill="FFFFFF"/>
          <w:lang w:val="en-US"/>
        </w:rPr>
        <w:t> </w:t>
      </w:r>
      <w:r w:rsidRPr="005364F2">
        <w:rPr>
          <w:rFonts w:ascii="Arial" w:hAnsi="Arial" w:cs="Arial"/>
          <w:i/>
          <w:sz w:val="21"/>
          <w:szCs w:val="21"/>
          <w:shd w:val="clear" w:color="auto" w:fill="FFFFFF"/>
          <w:lang w:val="en-US"/>
        </w:rPr>
        <w:t>in 1999 for his work in welfare economics. He was also awarded the inaugural Charleston-EFG John Maynard Keynes Prize in recognition of his work on</w:t>
      </w:r>
      <w:r w:rsidRPr="005364F2">
        <w:rPr>
          <w:rStyle w:val="apple-converted-space"/>
          <w:rFonts w:ascii="Arial" w:hAnsi="Arial" w:cs="Arial"/>
          <w:i/>
          <w:sz w:val="21"/>
          <w:szCs w:val="21"/>
          <w:shd w:val="clear" w:color="auto" w:fill="FFFFFF"/>
          <w:lang w:val="en-US"/>
        </w:rPr>
        <w:t> </w:t>
      </w:r>
      <w:hyperlink r:id="rId11" w:tooltip="Welfare economics" w:history="1">
        <w:r w:rsidRPr="005364F2">
          <w:rPr>
            <w:rStyle w:val="Collegamentoipertestuale"/>
            <w:rFonts w:ascii="Arial" w:hAnsi="Arial" w:cs="Arial"/>
            <w:i/>
            <w:color w:val="auto"/>
            <w:sz w:val="21"/>
            <w:szCs w:val="21"/>
            <w:u w:val="none"/>
            <w:shd w:val="clear" w:color="auto" w:fill="FFFFFF"/>
            <w:lang w:val="en-US"/>
          </w:rPr>
          <w:t>welfare economics</w:t>
        </w:r>
      </w:hyperlink>
      <w:r w:rsidRPr="005364F2">
        <w:rPr>
          <w:rStyle w:val="apple-converted-space"/>
          <w:rFonts w:ascii="Arial" w:hAnsi="Arial" w:cs="Arial"/>
          <w:i/>
          <w:sz w:val="21"/>
          <w:szCs w:val="21"/>
          <w:shd w:val="clear" w:color="auto" w:fill="FFFFFF"/>
          <w:lang w:val="en-US"/>
        </w:rPr>
        <w:t> </w:t>
      </w:r>
      <w:r w:rsidRPr="005364F2">
        <w:rPr>
          <w:rFonts w:ascii="Arial" w:hAnsi="Arial" w:cs="Arial"/>
          <w:i/>
          <w:sz w:val="21"/>
          <w:szCs w:val="21"/>
          <w:shd w:val="clear" w:color="auto" w:fill="FFFFFF"/>
          <w:lang w:val="en-US"/>
        </w:rPr>
        <w:t>in February 2015 during a reception at the Royal Academy in the UK.</w:t>
      </w:r>
    </w:p>
    <w:p w:rsidR="00381968" w:rsidRDefault="005364F2">
      <w:pPr>
        <w:rPr>
          <w:sz w:val="28"/>
          <w:szCs w:val="28"/>
          <w:lang w:val="en-US"/>
        </w:rPr>
      </w:pPr>
      <w:r w:rsidRPr="005364F2">
        <w:rPr>
          <w:sz w:val="28"/>
          <w:szCs w:val="28"/>
          <w:lang w:val="en-US"/>
        </w:rPr>
        <w:t xml:space="preserve"> “Inclusion is characterized by a society’s widely shared social experience and active participation, by a broad equality of opportunities and life chances for individuals and by the achievement of a basic level of well-being for all citizens”.</w:t>
      </w:r>
    </w:p>
    <w:p w:rsidR="005364F2" w:rsidRDefault="005364F2">
      <w:pPr>
        <w:rPr>
          <w:sz w:val="28"/>
          <w:szCs w:val="28"/>
          <w:lang w:val="en-US"/>
        </w:rPr>
      </w:pPr>
    </w:p>
    <w:p w:rsidR="005364F2" w:rsidRPr="00AC4533" w:rsidRDefault="005364F2" w:rsidP="005364F2">
      <w:pPr>
        <w:jc w:val="both"/>
        <w:rPr>
          <w:rStyle w:val="TitoloCarattere"/>
          <w:lang w:val="en-US"/>
        </w:rPr>
      </w:pPr>
    </w:p>
    <w:p w:rsidR="005364F2" w:rsidRDefault="005364F2" w:rsidP="005364F2">
      <w:pPr>
        <w:jc w:val="both"/>
        <w:rPr>
          <w:sz w:val="28"/>
          <w:szCs w:val="28"/>
          <w:lang w:val="en-US"/>
        </w:rPr>
      </w:pPr>
      <w:r w:rsidRPr="005364F2">
        <w:rPr>
          <w:rStyle w:val="TitoloCarattere"/>
          <w:lang w:val="en-US"/>
        </w:rPr>
        <w:t>World Bank</w:t>
      </w:r>
      <w:r>
        <w:rPr>
          <w:sz w:val="28"/>
          <w:szCs w:val="28"/>
          <w:lang w:val="en-US"/>
        </w:rPr>
        <w:t xml:space="preserve"> </w:t>
      </w:r>
      <w:r w:rsidRPr="005364F2">
        <w:rPr>
          <w:sz w:val="28"/>
          <w:szCs w:val="28"/>
          <w:lang w:val="en-US"/>
        </w:rPr>
        <w:t>http://www.worldbank.org/</w:t>
      </w:r>
    </w:p>
    <w:p w:rsidR="005364F2" w:rsidRPr="005364F2" w:rsidRDefault="005364F2" w:rsidP="005364F2">
      <w:pPr>
        <w:jc w:val="both"/>
        <w:rPr>
          <w:sz w:val="28"/>
          <w:szCs w:val="28"/>
          <w:lang w:val="en-US"/>
        </w:rPr>
      </w:pPr>
      <w:r w:rsidRPr="005364F2">
        <w:rPr>
          <w:sz w:val="28"/>
          <w:szCs w:val="28"/>
          <w:lang w:val="en-US"/>
        </w:rPr>
        <w:t>Poverty alone is not a comprehensive marker of deprivation. Race, ethnicity, gender, religion, place of residence, disability status, age, HIVAIDS status, sexual orientation or other stigmatized markers, confer disadvantage that excludes people from a range of processes and opportunities.</w:t>
      </w:r>
    </w:p>
    <w:p w:rsidR="005364F2" w:rsidRPr="005364F2" w:rsidRDefault="005364F2" w:rsidP="005364F2">
      <w:pPr>
        <w:jc w:val="both"/>
        <w:rPr>
          <w:sz w:val="28"/>
          <w:szCs w:val="28"/>
          <w:lang w:val="en-US"/>
        </w:rPr>
      </w:pPr>
      <w:r w:rsidRPr="005364F2">
        <w:rPr>
          <w:sz w:val="28"/>
          <w:szCs w:val="28"/>
          <w:lang w:val="en-US"/>
        </w:rPr>
        <w:t>The World Bank defines social inclusion as the process of improving the terms for individuals and groups to take part in society.</w:t>
      </w:r>
    </w:p>
    <w:p w:rsidR="005364F2" w:rsidRPr="005364F2" w:rsidRDefault="005364F2" w:rsidP="005364F2">
      <w:pPr>
        <w:jc w:val="both"/>
        <w:rPr>
          <w:sz w:val="28"/>
          <w:szCs w:val="28"/>
          <w:lang w:val="en-US"/>
        </w:rPr>
      </w:pPr>
      <w:r w:rsidRPr="005364F2">
        <w:rPr>
          <w:sz w:val="28"/>
          <w:szCs w:val="28"/>
          <w:lang w:val="en-US"/>
        </w:rPr>
        <w:t>Social inclusion aims to empower poor and marginalized people to take advantage of burgeoning global opportunities. It ensures that people have a voice in decisions which affect their lives and that they enjoy equal access to markets, services and political, social and physical spaces.</w:t>
      </w:r>
    </w:p>
    <w:p w:rsidR="005364F2" w:rsidRDefault="005364F2">
      <w:pPr>
        <w:rPr>
          <w:sz w:val="28"/>
          <w:szCs w:val="28"/>
          <w:lang w:val="en-US"/>
        </w:rPr>
      </w:pPr>
    </w:p>
    <w:p w:rsidR="005364F2" w:rsidRDefault="005364F2" w:rsidP="00B23110">
      <w:pPr>
        <w:jc w:val="both"/>
        <w:rPr>
          <w:sz w:val="24"/>
          <w:szCs w:val="24"/>
          <w:lang w:val="en-US"/>
        </w:rPr>
      </w:pPr>
      <w:r w:rsidRPr="00AC4533">
        <w:rPr>
          <w:rStyle w:val="TitoloCarattere"/>
          <w:lang w:val="en-US"/>
        </w:rPr>
        <w:t>Social Exclusion</w:t>
      </w:r>
      <w:r>
        <w:rPr>
          <w:sz w:val="28"/>
          <w:szCs w:val="28"/>
          <w:lang w:val="en-US"/>
        </w:rPr>
        <w:t xml:space="preserve"> </w:t>
      </w:r>
      <w:r w:rsidRPr="00B23110">
        <w:rPr>
          <w:sz w:val="24"/>
          <w:szCs w:val="24"/>
          <w:lang w:val="en-US"/>
        </w:rPr>
        <w:t xml:space="preserve">by Social Exclusion Knowledge Network (SEKN). The SEKN is one of nine global Knowledge Networks established by the WHO (World Health </w:t>
      </w:r>
      <w:proofErr w:type="spellStart"/>
      <w:r w:rsidRPr="00B23110">
        <w:rPr>
          <w:sz w:val="24"/>
          <w:szCs w:val="24"/>
          <w:lang w:val="en-US"/>
        </w:rPr>
        <w:t>Organisation</w:t>
      </w:r>
      <w:proofErr w:type="spellEnd"/>
      <w:r w:rsidRPr="00B23110">
        <w:rPr>
          <w:sz w:val="24"/>
          <w:szCs w:val="24"/>
          <w:lang w:val="en-US"/>
        </w:rPr>
        <w:t>) Commission on the Social Determinants of Health (CSDH).</w:t>
      </w:r>
    </w:p>
    <w:p w:rsidR="00B23110" w:rsidRDefault="00B23110" w:rsidP="00B23110">
      <w:pPr>
        <w:jc w:val="both"/>
        <w:rPr>
          <w:sz w:val="28"/>
          <w:szCs w:val="28"/>
          <w:lang w:val="en-US"/>
        </w:rPr>
      </w:pPr>
      <w:r w:rsidRPr="00B23110">
        <w:rPr>
          <w:sz w:val="28"/>
          <w:szCs w:val="28"/>
          <w:lang w:val="en-US"/>
        </w:rPr>
        <w:t xml:space="preserve">Exclusion consists of dynamic, multi-dimensional processes driven by unequal power relationships interacting across four main dimensions - economic, political, social and cultural - and at different levels including individual, household, group, community, country and global levels. It results in a continuum of inclusion/exclusion </w:t>
      </w:r>
      <w:r w:rsidR="003A2456" w:rsidRPr="00B23110">
        <w:rPr>
          <w:sz w:val="28"/>
          <w:szCs w:val="28"/>
          <w:lang w:val="en-US"/>
        </w:rPr>
        <w:t>characterized</w:t>
      </w:r>
      <w:r w:rsidRPr="00B23110">
        <w:rPr>
          <w:sz w:val="28"/>
          <w:szCs w:val="28"/>
          <w:lang w:val="en-US"/>
        </w:rPr>
        <w:t xml:space="preserve"> by unequal access to resources, capabilities and rights which leads to health inequalities.</w:t>
      </w:r>
    </w:p>
    <w:p w:rsidR="003A2456" w:rsidRPr="00AC4533" w:rsidRDefault="003A2456" w:rsidP="00B23110">
      <w:pPr>
        <w:jc w:val="both"/>
        <w:rPr>
          <w:rStyle w:val="TitoloCarattere"/>
          <w:lang w:val="en-US"/>
        </w:rPr>
      </w:pPr>
      <w:r w:rsidRPr="00AC4533">
        <w:rPr>
          <w:rStyle w:val="TitoloCarattere"/>
          <w:lang w:val="en-US"/>
        </w:rPr>
        <w:lastRenderedPageBreak/>
        <w:t>A Zulu aphorism</w:t>
      </w:r>
    </w:p>
    <w:p w:rsidR="003A2456" w:rsidRDefault="003A2456" w:rsidP="00B23110">
      <w:pPr>
        <w:jc w:val="both"/>
        <w:rPr>
          <w:sz w:val="28"/>
          <w:szCs w:val="28"/>
          <w:lang w:val="en-US"/>
        </w:rPr>
      </w:pPr>
      <w:r w:rsidRPr="003A2456">
        <w:rPr>
          <w:sz w:val="28"/>
          <w:szCs w:val="28"/>
          <w:lang w:val="en-US"/>
        </w:rPr>
        <w:t>UMUNTU NGUMUNTU NGABANTU</w:t>
      </w:r>
      <w:r>
        <w:rPr>
          <w:sz w:val="28"/>
          <w:szCs w:val="28"/>
          <w:lang w:val="en-US"/>
        </w:rPr>
        <w:t xml:space="preserve"> = a person is a person because of other people</w:t>
      </w:r>
    </w:p>
    <w:p w:rsidR="003A568F" w:rsidRDefault="003A568F" w:rsidP="00B23110">
      <w:pPr>
        <w:jc w:val="both"/>
        <w:rPr>
          <w:sz w:val="28"/>
          <w:szCs w:val="28"/>
          <w:lang w:val="en-US"/>
        </w:rPr>
      </w:pPr>
    </w:p>
    <w:p w:rsidR="003A568F" w:rsidRPr="00AC4533" w:rsidRDefault="003A568F" w:rsidP="003A568F">
      <w:pPr>
        <w:jc w:val="both"/>
        <w:rPr>
          <w:rStyle w:val="TitoloCarattere"/>
          <w:lang w:val="en-US"/>
        </w:rPr>
      </w:pPr>
      <w:r w:rsidRPr="00AC4533">
        <w:rPr>
          <w:rStyle w:val="TitoloCarattere"/>
          <w:lang w:val="en-US"/>
        </w:rPr>
        <w:t>Social Inclusion by UNESCO</w:t>
      </w:r>
    </w:p>
    <w:p w:rsidR="003A568F" w:rsidRPr="003A568F" w:rsidRDefault="003A568F" w:rsidP="003A568F">
      <w:pPr>
        <w:jc w:val="both"/>
        <w:rPr>
          <w:sz w:val="28"/>
          <w:szCs w:val="28"/>
          <w:lang w:val="en-US"/>
        </w:rPr>
      </w:pPr>
      <w:r w:rsidRPr="003A568F">
        <w:rPr>
          <w:rFonts w:ascii="Arial" w:eastAsia="Times New Roman" w:hAnsi="Arial" w:cs="Arial"/>
          <w:b/>
          <w:bCs/>
          <w:color w:val="000000"/>
          <w:sz w:val="25"/>
          <w:szCs w:val="25"/>
          <w:lang w:val="en-US" w:eastAsia="it-IT"/>
        </w:rPr>
        <w:t>Definition</w:t>
      </w:r>
      <w:r w:rsidRPr="003A568F">
        <w:rPr>
          <w:rFonts w:ascii="Arial" w:eastAsia="Times New Roman" w:hAnsi="Arial" w:cs="Arial"/>
          <w:color w:val="000000"/>
          <w:sz w:val="25"/>
          <w:szCs w:val="25"/>
          <w:lang w:val="en-US" w:eastAsia="it-IT"/>
        </w:rPr>
        <w:br/>
      </w:r>
      <w:r w:rsidRPr="003A568F">
        <w:rPr>
          <w:sz w:val="28"/>
          <w:szCs w:val="28"/>
          <w:lang w:val="en-US"/>
        </w:rPr>
        <w:t>Social rights bring together numerous rights that must be dealt with at the local level: rights to housing, education, clean water and health care emphasize the role of local authorities as a welfare provider and social provision as a duty which lies within city halls and councils.</w:t>
      </w:r>
    </w:p>
    <w:p w:rsidR="003A568F" w:rsidRDefault="003A568F" w:rsidP="00B23110">
      <w:pPr>
        <w:jc w:val="both"/>
        <w:rPr>
          <w:sz w:val="28"/>
          <w:szCs w:val="28"/>
          <w:lang w:val="en-US"/>
        </w:rPr>
      </w:pPr>
    </w:p>
    <w:p w:rsidR="00AC4533" w:rsidRDefault="00AC4533" w:rsidP="00B23110">
      <w:pPr>
        <w:jc w:val="both"/>
        <w:rPr>
          <w:sz w:val="28"/>
          <w:szCs w:val="28"/>
          <w:lang w:val="en-US"/>
        </w:rPr>
      </w:pPr>
    </w:p>
    <w:p w:rsidR="00AC4533" w:rsidRDefault="00AC4533" w:rsidP="00B23110">
      <w:pPr>
        <w:jc w:val="both"/>
        <w:rPr>
          <w:rStyle w:val="TitoloCarattere"/>
          <w:b/>
          <w:bCs/>
          <w:lang w:val="en-US"/>
        </w:rPr>
      </w:pPr>
      <w:r w:rsidRPr="00AC4533">
        <w:rPr>
          <w:rStyle w:val="TitoloCarattere"/>
          <w:b/>
          <w:bCs/>
          <w:lang w:val="en-US"/>
        </w:rPr>
        <w:t>Disability Strategy 2010-2020: A Renewed Commitment to a Barrier-Free Europe</w:t>
      </w:r>
    </w:p>
    <w:p w:rsidR="00AC4533" w:rsidRPr="00AC4533" w:rsidRDefault="00AC4533" w:rsidP="00B23110">
      <w:pPr>
        <w:jc w:val="both"/>
        <w:rPr>
          <w:sz w:val="28"/>
          <w:szCs w:val="28"/>
          <w:lang w:val="en-US"/>
        </w:rPr>
      </w:pPr>
      <w:r>
        <w:rPr>
          <w:sz w:val="28"/>
          <w:szCs w:val="28"/>
          <w:lang w:val="en-US"/>
        </w:rPr>
        <w:t>“</w:t>
      </w:r>
      <w:r w:rsidRPr="00AC4533">
        <w:rPr>
          <w:rFonts w:ascii="Calibri" w:eastAsia="Calibri" w:hAnsi="Calibri" w:cs="Times New Roman"/>
          <w:sz w:val="28"/>
          <w:szCs w:val="28"/>
          <w:lang w:val="en-US"/>
        </w:rPr>
        <w:t>Building a society that includes everyone also brings market opportunities and fosters innovation</w:t>
      </w:r>
      <w:r>
        <w:rPr>
          <w:sz w:val="28"/>
          <w:szCs w:val="28"/>
          <w:lang w:val="en-US"/>
        </w:rPr>
        <w:t>”</w:t>
      </w:r>
      <w:r w:rsidRPr="00AC4533">
        <w:rPr>
          <w:rFonts w:ascii="Calibri" w:eastAsia="Calibri" w:hAnsi="Calibri" w:cs="Times New Roman"/>
          <w:sz w:val="28"/>
          <w:szCs w:val="28"/>
          <w:lang w:val="en-US"/>
        </w:rPr>
        <w:t>.</w:t>
      </w:r>
    </w:p>
    <w:p w:rsidR="00AC4533" w:rsidRDefault="00AC4533" w:rsidP="00B23110">
      <w:pPr>
        <w:jc w:val="both"/>
        <w:rPr>
          <w:rFonts w:ascii="Calibri" w:eastAsia="Calibri" w:hAnsi="Calibri" w:cs="Times New Roman"/>
          <w:sz w:val="28"/>
          <w:szCs w:val="28"/>
          <w:lang w:val="en-US"/>
        </w:rPr>
      </w:pPr>
      <w:r>
        <w:rPr>
          <w:sz w:val="28"/>
          <w:szCs w:val="28"/>
          <w:lang w:val="en-US"/>
        </w:rPr>
        <w:t>“</w:t>
      </w:r>
      <w:r w:rsidRPr="00AC4533">
        <w:rPr>
          <w:rFonts w:ascii="Calibri" w:eastAsia="Calibri" w:hAnsi="Calibri" w:cs="Times New Roman"/>
          <w:sz w:val="28"/>
          <w:szCs w:val="28"/>
          <w:lang w:val="en-US"/>
        </w:rPr>
        <w:t xml:space="preserve">There are still many obstacles </w:t>
      </w:r>
      <w:r>
        <w:rPr>
          <w:sz w:val="28"/>
          <w:szCs w:val="28"/>
          <w:lang w:val="en-US"/>
        </w:rPr>
        <w:t>…</w:t>
      </w:r>
      <w:r w:rsidRPr="00AC4533">
        <w:rPr>
          <w:rFonts w:ascii="Calibri" w:eastAsia="Calibri" w:hAnsi="Calibri" w:cs="Times New Roman"/>
          <w:sz w:val="28"/>
          <w:szCs w:val="28"/>
          <w:lang w:val="en-US"/>
        </w:rPr>
        <w:t xml:space="preserve"> limiting their</w:t>
      </w:r>
      <w:r>
        <w:rPr>
          <w:sz w:val="28"/>
          <w:szCs w:val="28"/>
          <w:lang w:val="en-US"/>
        </w:rPr>
        <w:t xml:space="preserve"> (people with </w:t>
      </w:r>
      <w:proofErr w:type="spellStart"/>
      <w:r>
        <w:rPr>
          <w:sz w:val="28"/>
          <w:szCs w:val="28"/>
          <w:lang w:val="en-US"/>
        </w:rPr>
        <w:t>disability’s</w:t>
      </w:r>
      <w:proofErr w:type="spellEnd"/>
      <w:r>
        <w:rPr>
          <w:sz w:val="28"/>
          <w:szCs w:val="28"/>
          <w:lang w:val="en-US"/>
        </w:rPr>
        <w:t>)</w:t>
      </w:r>
      <w:r w:rsidRPr="00AC4533">
        <w:rPr>
          <w:rFonts w:ascii="Calibri" w:eastAsia="Calibri" w:hAnsi="Calibri" w:cs="Times New Roman"/>
          <w:sz w:val="28"/>
          <w:szCs w:val="28"/>
          <w:lang w:val="en-US"/>
        </w:rPr>
        <w:t xml:space="preserve"> participation in society on an equal basis with others. Those rights include the right to free movement, to choose where and how to live, and to have full access to cultural, recreational, and sports activities</w:t>
      </w:r>
      <w:r>
        <w:rPr>
          <w:sz w:val="28"/>
          <w:szCs w:val="28"/>
          <w:lang w:val="en-US"/>
        </w:rPr>
        <w:t>”</w:t>
      </w:r>
      <w:r w:rsidRPr="00AC4533">
        <w:rPr>
          <w:rFonts w:ascii="Calibri" w:eastAsia="Calibri" w:hAnsi="Calibri" w:cs="Times New Roman"/>
          <w:sz w:val="28"/>
          <w:szCs w:val="28"/>
          <w:lang w:val="en-US"/>
        </w:rPr>
        <w:t>.</w:t>
      </w:r>
    </w:p>
    <w:p w:rsidR="00093B50" w:rsidRDefault="00093B50" w:rsidP="00B23110">
      <w:pPr>
        <w:jc w:val="both"/>
        <w:rPr>
          <w:rFonts w:ascii="Calibri" w:eastAsia="Calibri" w:hAnsi="Calibri" w:cs="Times New Roman"/>
          <w:sz w:val="28"/>
          <w:szCs w:val="28"/>
          <w:lang w:val="en-US"/>
        </w:rPr>
      </w:pPr>
    </w:p>
    <w:p w:rsidR="00093B50" w:rsidRDefault="00093B50" w:rsidP="00B23110">
      <w:pPr>
        <w:jc w:val="both"/>
        <w:rPr>
          <w:rFonts w:ascii="Calibri" w:eastAsia="Calibri" w:hAnsi="Calibri" w:cs="Times New Roman"/>
          <w:sz w:val="28"/>
          <w:szCs w:val="28"/>
          <w:lang w:val="en-US"/>
        </w:rPr>
      </w:pPr>
    </w:p>
    <w:p w:rsidR="00093B50" w:rsidRDefault="00093B50" w:rsidP="00093B50">
      <w:pPr>
        <w:jc w:val="both"/>
        <w:rPr>
          <w:rFonts w:ascii="Calibri" w:eastAsia="Calibri" w:hAnsi="Calibri" w:cs="Times New Roman"/>
          <w:sz w:val="28"/>
          <w:szCs w:val="28"/>
          <w:lang w:val="en-US"/>
        </w:rPr>
      </w:pPr>
    </w:p>
    <w:p w:rsidR="00093B50" w:rsidRDefault="00093B50" w:rsidP="00093B50">
      <w:pPr>
        <w:jc w:val="both"/>
        <w:rPr>
          <w:rFonts w:ascii="Calibri" w:eastAsia="Calibri" w:hAnsi="Calibri" w:cs="Times New Roman"/>
          <w:sz w:val="28"/>
          <w:szCs w:val="28"/>
          <w:lang w:val="en-US"/>
        </w:rPr>
      </w:pPr>
    </w:p>
    <w:p w:rsidR="00093B50" w:rsidRDefault="00093B50" w:rsidP="00093B50">
      <w:pPr>
        <w:jc w:val="both"/>
        <w:rPr>
          <w:rFonts w:ascii="Calibri" w:eastAsia="Calibri" w:hAnsi="Calibri" w:cs="Times New Roman"/>
          <w:sz w:val="28"/>
          <w:szCs w:val="28"/>
          <w:lang w:val="en-US"/>
        </w:rPr>
      </w:pPr>
    </w:p>
    <w:p w:rsidR="00093B50" w:rsidRDefault="00093B50" w:rsidP="00093B50">
      <w:pPr>
        <w:jc w:val="both"/>
        <w:rPr>
          <w:rFonts w:ascii="Calibri" w:eastAsia="Calibri" w:hAnsi="Calibri" w:cs="Times New Roman"/>
          <w:sz w:val="28"/>
          <w:szCs w:val="28"/>
          <w:lang w:val="en-US"/>
        </w:rPr>
      </w:pPr>
    </w:p>
    <w:p w:rsidR="00093B50" w:rsidRPr="00093B50" w:rsidRDefault="00093B50" w:rsidP="00093B50">
      <w:pPr>
        <w:jc w:val="both"/>
        <w:rPr>
          <w:rStyle w:val="TitoloCarattere"/>
          <w:b/>
          <w:bCs/>
          <w:lang w:val="en-US"/>
        </w:rPr>
      </w:pPr>
      <w:r w:rsidRPr="00093B50">
        <w:rPr>
          <w:rStyle w:val="TitoloCarattere"/>
          <w:b/>
          <w:bCs/>
          <w:lang w:val="en-US"/>
        </w:rPr>
        <w:lastRenderedPageBreak/>
        <w:t>Convention on the Rights of Persons with Disabilities</w:t>
      </w:r>
    </w:p>
    <w:p w:rsidR="00093B50" w:rsidRPr="00093B50" w:rsidRDefault="00093B50" w:rsidP="00093B50">
      <w:pPr>
        <w:jc w:val="both"/>
        <w:rPr>
          <w:rFonts w:ascii="Calibri" w:eastAsia="Calibri" w:hAnsi="Calibri" w:cs="Times New Roman"/>
          <w:b/>
          <w:sz w:val="28"/>
          <w:szCs w:val="28"/>
          <w:lang w:val="en-US"/>
        </w:rPr>
      </w:pPr>
      <w:r w:rsidRPr="00093B50">
        <w:rPr>
          <w:rFonts w:ascii="Calibri" w:eastAsia="Calibri" w:hAnsi="Calibri" w:cs="Times New Roman"/>
          <w:b/>
          <w:sz w:val="28"/>
          <w:szCs w:val="28"/>
          <w:lang w:val="en-US"/>
        </w:rPr>
        <w:t>Article 19 - Living independently and being included in the community</w:t>
      </w:r>
    </w:p>
    <w:p w:rsidR="00093B50" w:rsidRPr="00093B50" w:rsidRDefault="00093B50" w:rsidP="00093B50">
      <w:pPr>
        <w:jc w:val="both"/>
        <w:rPr>
          <w:rFonts w:ascii="Calibri" w:eastAsia="Calibri" w:hAnsi="Calibri" w:cs="Times New Roman"/>
          <w:sz w:val="28"/>
          <w:szCs w:val="28"/>
          <w:lang w:val="en-US"/>
        </w:rPr>
      </w:pPr>
      <w:r w:rsidRPr="00093B50">
        <w:rPr>
          <w:rFonts w:ascii="Calibri" w:eastAsia="Calibri" w:hAnsi="Calibri" w:cs="Times New Roman"/>
          <w:sz w:val="28"/>
          <w:szCs w:val="28"/>
          <w:lang w:val="en-US"/>
        </w:rPr>
        <w:t>States Parties to this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rsidR="00093B50" w:rsidRPr="00093B50" w:rsidRDefault="00093B50" w:rsidP="00093B50">
      <w:pPr>
        <w:jc w:val="both"/>
        <w:rPr>
          <w:rFonts w:ascii="Calibri" w:eastAsia="Calibri" w:hAnsi="Calibri" w:cs="Times New Roman"/>
          <w:sz w:val="28"/>
          <w:szCs w:val="28"/>
          <w:lang w:val="en-US"/>
        </w:rPr>
      </w:pPr>
      <w:r w:rsidRPr="00093B50">
        <w:rPr>
          <w:rFonts w:ascii="Calibri" w:eastAsia="Calibri" w:hAnsi="Calibri" w:cs="Times New Roman"/>
          <w:sz w:val="28"/>
          <w:szCs w:val="28"/>
          <w:lang w:val="en-US"/>
        </w:rPr>
        <w:t>Persons with disabilities have the opportunity to choose their place of residence and where and with whom they live on an equal basis with others and are not obliged to live in a particular living arrangement;</w:t>
      </w:r>
    </w:p>
    <w:p w:rsidR="00093B50" w:rsidRPr="00093B50" w:rsidRDefault="00093B50" w:rsidP="00093B50">
      <w:pPr>
        <w:jc w:val="both"/>
        <w:rPr>
          <w:rFonts w:ascii="Calibri" w:eastAsia="Calibri" w:hAnsi="Calibri" w:cs="Times New Roman"/>
          <w:sz w:val="28"/>
          <w:szCs w:val="28"/>
          <w:lang w:val="en-US"/>
        </w:rPr>
      </w:pPr>
      <w:r w:rsidRPr="00093B50">
        <w:rPr>
          <w:rFonts w:ascii="Calibri" w:eastAsia="Calibri" w:hAnsi="Calibri" w:cs="Times New Roman"/>
          <w:sz w:val="28"/>
          <w:szCs w:val="28"/>
          <w:lang w:val="en-US"/>
        </w:rPr>
        <w:t>Persons with disabilities have access to a range of in-home, residential and other community support services, including personal assistance necessary to support living and inclusion in the community, and to prevent isolation or segregation from the community;</w:t>
      </w:r>
    </w:p>
    <w:p w:rsidR="00093B50" w:rsidRPr="00093B50" w:rsidRDefault="00093B50" w:rsidP="00093B50">
      <w:pPr>
        <w:jc w:val="both"/>
        <w:rPr>
          <w:rFonts w:ascii="Calibri" w:eastAsia="Calibri" w:hAnsi="Calibri" w:cs="Times New Roman"/>
          <w:sz w:val="28"/>
          <w:szCs w:val="28"/>
          <w:lang w:val="en-US"/>
        </w:rPr>
      </w:pPr>
      <w:r w:rsidRPr="00093B50">
        <w:rPr>
          <w:rFonts w:ascii="Calibri" w:eastAsia="Calibri" w:hAnsi="Calibri" w:cs="Times New Roman"/>
          <w:sz w:val="28"/>
          <w:szCs w:val="28"/>
          <w:lang w:val="en-US"/>
        </w:rPr>
        <w:t>Community services and facilities for the general population are available on an equal basis to persons with disabilities and are responsive to their needs.</w:t>
      </w:r>
    </w:p>
    <w:p w:rsidR="002E61B1" w:rsidRDefault="002E61B1" w:rsidP="00B23110">
      <w:pPr>
        <w:jc w:val="both"/>
      </w:pPr>
    </w:p>
    <w:p w:rsidR="002E61B1" w:rsidRPr="002E61B1" w:rsidRDefault="002E61B1" w:rsidP="00B23110">
      <w:pPr>
        <w:jc w:val="both"/>
        <w:rPr>
          <w:rStyle w:val="TitoloCarattere"/>
          <w:b/>
          <w:bCs/>
        </w:rPr>
      </w:pPr>
      <w:proofErr w:type="spellStart"/>
      <w:r w:rsidRPr="002E61B1">
        <w:rPr>
          <w:rStyle w:val="TitoloCarattere"/>
          <w:b/>
          <w:bCs/>
          <w:lang w:val="en-US"/>
        </w:rPr>
        <w:t>Erasmus+</w:t>
      </w:r>
      <w:proofErr w:type="spellEnd"/>
      <w:r w:rsidRPr="002E61B1">
        <w:rPr>
          <w:rStyle w:val="TitoloCarattere"/>
          <w:b/>
          <w:bCs/>
          <w:lang w:val="en-US"/>
        </w:rPr>
        <w:t xml:space="preserve"> </w:t>
      </w:r>
      <w:proofErr w:type="spellStart"/>
      <w:r w:rsidRPr="002E61B1">
        <w:rPr>
          <w:rStyle w:val="TitoloCarattere"/>
          <w:b/>
          <w:bCs/>
          <w:lang w:val="en-US"/>
        </w:rPr>
        <w:t>Programme</w:t>
      </w:r>
      <w:proofErr w:type="spellEnd"/>
      <w:r w:rsidRPr="002E61B1">
        <w:rPr>
          <w:rStyle w:val="TitoloCarattere"/>
          <w:b/>
          <w:bCs/>
          <w:lang w:val="en-US"/>
        </w:rPr>
        <w:t xml:space="preserve"> Guide</w:t>
      </w:r>
    </w:p>
    <w:p w:rsidR="00093B50" w:rsidRPr="002E61B1" w:rsidRDefault="002E61B1" w:rsidP="002E61B1">
      <w:pPr>
        <w:jc w:val="both"/>
        <w:rPr>
          <w:rFonts w:ascii="Calibri" w:eastAsia="Calibri" w:hAnsi="Calibri" w:cs="Times New Roman"/>
          <w:sz w:val="28"/>
          <w:szCs w:val="28"/>
          <w:lang w:val="en-US"/>
        </w:rPr>
      </w:pPr>
      <w:r w:rsidRPr="002E61B1">
        <w:rPr>
          <w:rFonts w:ascii="Calibri" w:eastAsia="Calibri" w:hAnsi="Calibri" w:cs="Times New Roman"/>
          <w:sz w:val="28"/>
          <w:szCs w:val="28"/>
          <w:lang w:val="en-US"/>
        </w:rPr>
        <w:t>Europe needs more cohesive and inclusive societies which allow citizens to play an active role in democratic life. Education and youth work are key to prevent violent radicalization by promoting common European values, fostering social integration, enhancing intercultural understanding and a sense of belonging to a community. Erasmus+ is an important instrument to promote the inclusion of people with disadvantaged backgrounds, especially newly arrived migrants, in response to critical events affecting European countries.</w:t>
      </w:r>
    </w:p>
    <w:p w:rsidR="002E61B1" w:rsidRPr="002E61B1" w:rsidRDefault="002E61B1" w:rsidP="002E61B1">
      <w:pPr>
        <w:jc w:val="both"/>
        <w:rPr>
          <w:rFonts w:ascii="Calibri" w:eastAsia="Calibri" w:hAnsi="Calibri" w:cs="Times New Roman"/>
          <w:sz w:val="28"/>
          <w:szCs w:val="28"/>
          <w:lang w:val="en-US"/>
        </w:rPr>
      </w:pPr>
      <w:r w:rsidRPr="002E61B1">
        <w:rPr>
          <w:rFonts w:ascii="Calibri" w:eastAsia="Calibri" w:hAnsi="Calibri" w:cs="Times New Roman"/>
          <w:sz w:val="28"/>
          <w:szCs w:val="28"/>
          <w:lang w:val="en-US"/>
        </w:rPr>
        <w:t>…</w:t>
      </w:r>
    </w:p>
    <w:p w:rsidR="002E61B1" w:rsidRDefault="002E61B1" w:rsidP="002E61B1">
      <w:pPr>
        <w:jc w:val="both"/>
        <w:rPr>
          <w:rFonts w:ascii="Calibri" w:eastAsia="Calibri" w:hAnsi="Calibri" w:cs="Times New Roman"/>
          <w:sz w:val="28"/>
          <w:szCs w:val="28"/>
          <w:lang w:val="en-US"/>
        </w:rPr>
      </w:pPr>
      <w:r w:rsidRPr="002E61B1">
        <w:rPr>
          <w:rFonts w:ascii="Calibri" w:eastAsia="Calibri" w:hAnsi="Calibri" w:cs="Times New Roman"/>
          <w:sz w:val="28"/>
          <w:szCs w:val="28"/>
          <w:lang w:val="en-US"/>
        </w:rPr>
        <w:t xml:space="preserve">The Erasmus+ </w:t>
      </w:r>
      <w:proofErr w:type="spellStart"/>
      <w:r w:rsidRPr="002E61B1">
        <w:rPr>
          <w:rFonts w:ascii="Calibri" w:eastAsia="Calibri" w:hAnsi="Calibri" w:cs="Times New Roman"/>
          <w:sz w:val="28"/>
          <w:szCs w:val="28"/>
          <w:lang w:val="en-US"/>
        </w:rPr>
        <w:t>Programme</w:t>
      </w:r>
      <w:proofErr w:type="spellEnd"/>
      <w:r w:rsidRPr="002E61B1">
        <w:rPr>
          <w:rFonts w:ascii="Calibri" w:eastAsia="Calibri" w:hAnsi="Calibri" w:cs="Times New Roman"/>
          <w:sz w:val="28"/>
          <w:szCs w:val="28"/>
          <w:lang w:val="en-US"/>
        </w:rPr>
        <w:t xml:space="preserve"> aims at promoting equity and inclusion by facilitating the access to participants with disadvantaged backgrounds and fewer opportunities compared to their peers whenever disadvantage limits or prevents participation in transnational activities</w:t>
      </w:r>
    </w:p>
    <w:p w:rsidR="009A2EF8" w:rsidRPr="009A2EF8" w:rsidRDefault="009A2EF8" w:rsidP="009A2EF8">
      <w:pPr>
        <w:rPr>
          <w:rStyle w:val="TitoloCarattere"/>
          <w:b/>
          <w:bCs/>
          <w:lang w:val="en-US"/>
        </w:rPr>
      </w:pPr>
      <w:proofErr w:type="spellStart"/>
      <w:r w:rsidRPr="009A2EF8">
        <w:rPr>
          <w:rStyle w:val="TitoloCarattere"/>
          <w:b/>
          <w:bCs/>
          <w:lang w:val="en-US"/>
        </w:rPr>
        <w:lastRenderedPageBreak/>
        <w:t>European</w:t>
      </w:r>
      <w:proofErr w:type="spellEnd"/>
      <w:r w:rsidRPr="009A2EF8">
        <w:rPr>
          <w:rStyle w:val="TitoloCarattere"/>
          <w:b/>
          <w:bCs/>
          <w:lang w:val="en-US"/>
        </w:rPr>
        <w:t xml:space="preserve"> </w:t>
      </w:r>
      <w:proofErr w:type="spellStart"/>
      <w:r w:rsidRPr="009A2EF8">
        <w:rPr>
          <w:rStyle w:val="TitoloCarattere"/>
          <w:b/>
          <w:bCs/>
          <w:lang w:val="en-US"/>
        </w:rPr>
        <w:t>Commission</w:t>
      </w:r>
      <w:proofErr w:type="spellEnd"/>
      <w:r w:rsidRPr="009A2EF8">
        <w:rPr>
          <w:rStyle w:val="TitoloCarattere"/>
          <w:b/>
          <w:bCs/>
          <w:lang w:val="en-US"/>
        </w:rPr>
        <w:t xml:space="preserve"> (http://ec.europa.eu/social/main.jsp?catId=1059&amp;langId=en)</w:t>
      </w:r>
    </w:p>
    <w:p w:rsidR="009A2EF8" w:rsidRPr="009A2EF8" w:rsidRDefault="009A2EF8" w:rsidP="009A2EF8">
      <w:pPr>
        <w:jc w:val="both"/>
        <w:rPr>
          <w:rFonts w:ascii="Calibri" w:eastAsia="Calibri" w:hAnsi="Calibri" w:cs="Times New Roman"/>
          <w:b/>
          <w:sz w:val="28"/>
          <w:szCs w:val="28"/>
          <w:lang w:val="en-US"/>
        </w:rPr>
      </w:pPr>
      <w:r w:rsidRPr="009A2EF8">
        <w:rPr>
          <w:rFonts w:ascii="Calibri" w:eastAsia="Calibri" w:hAnsi="Calibri" w:cs="Times New Roman"/>
          <w:b/>
          <w:sz w:val="28"/>
          <w:szCs w:val="28"/>
          <w:lang w:val="en-US"/>
        </w:rPr>
        <w:t>Active inclusion</w:t>
      </w:r>
    </w:p>
    <w:p w:rsidR="009A2EF8" w:rsidRPr="009A2EF8" w:rsidRDefault="009A2EF8" w:rsidP="009A2EF8">
      <w:pPr>
        <w:jc w:val="both"/>
        <w:rPr>
          <w:rFonts w:ascii="Calibri" w:eastAsia="Calibri" w:hAnsi="Calibri" w:cs="Times New Roman"/>
          <w:sz w:val="28"/>
          <w:szCs w:val="28"/>
          <w:lang w:val="en-US"/>
        </w:rPr>
      </w:pPr>
      <w:r w:rsidRPr="009A2EF8">
        <w:rPr>
          <w:rFonts w:ascii="Calibri" w:eastAsia="Calibri" w:hAnsi="Calibri" w:cs="Times New Roman"/>
          <w:b/>
          <w:sz w:val="28"/>
          <w:szCs w:val="28"/>
          <w:lang w:val="en-US"/>
        </w:rPr>
        <w:t>Definition</w:t>
      </w:r>
    </w:p>
    <w:p w:rsidR="009A2EF8" w:rsidRPr="009A2EF8" w:rsidRDefault="009A2EF8" w:rsidP="009A2EF8">
      <w:pPr>
        <w:jc w:val="both"/>
        <w:rPr>
          <w:rFonts w:ascii="Calibri" w:eastAsia="Calibri" w:hAnsi="Calibri" w:cs="Times New Roman"/>
          <w:sz w:val="28"/>
          <w:szCs w:val="28"/>
          <w:lang w:val="en-US"/>
        </w:rPr>
      </w:pPr>
      <w:r w:rsidRPr="009A2EF8">
        <w:rPr>
          <w:rFonts w:ascii="Calibri" w:eastAsia="Calibri" w:hAnsi="Calibri" w:cs="Times New Roman"/>
          <w:sz w:val="28"/>
          <w:szCs w:val="28"/>
          <w:lang w:val="en-US"/>
        </w:rPr>
        <w:t>Active inclusion means enabling every citizen, notably the most disadvantaged, to fully participate in society, including having a job.</w:t>
      </w:r>
    </w:p>
    <w:p w:rsidR="009A2EF8" w:rsidRPr="009A2EF8" w:rsidRDefault="009A2EF8" w:rsidP="009A2EF8">
      <w:pPr>
        <w:jc w:val="both"/>
        <w:rPr>
          <w:rFonts w:ascii="Calibri" w:eastAsia="Calibri" w:hAnsi="Calibri" w:cs="Times New Roman"/>
          <w:sz w:val="28"/>
          <w:szCs w:val="28"/>
          <w:lang w:val="en-US"/>
        </w:rPr>
      </w:pPr>
      <w:r w:rsidRPr="009A2EF8">
        <w:rPr>
          <w:rFonts w:ascii="Calibri" w:eastAsia="Calibri" w:hAnsi="Calibri" w:cs="Times New Roman"/>
          <w:sz w:val="28"/>
          <w:szCs w:val="28"/>
          <w:lang w:val="en-US"/>
        </w:rPr>
        <w:t>In practical terms, that means:</w:t>
      </w:r>
    </w:p>
    <w:p w:rsidR="009A2EF8" w:rsidRPr="009A2EF8" w:rsidRDefault="009A2EF8" w:rsidP="009A2EF8">
      <w:pPr>
        <w:pStyle w:val="Paragrafoelenco"/>
        <w:numPr>
          <w:ilvl w:val="0"/>
          <w:numId w:val="3"/>
        </w:numPr>
        <w:jc w:val="both"/>
        <w:rPr>
          <w:rFonts w:ascii="Calibri" w:eastAsia="Calibri" w:hAnsi="Calibri" w:cs="Times New Roman"/>
          <w:sz w:val="28"/>
          <w:szCs w:val="28"/>
          <w:lang w:val="en-US"/>
        </w:rPr>
      </w:pPr>
      <w:hyperlink r:id="rId12" w:history="1">
        <w:r w:rsidRPr="009A2EF8">
          <w:rPr>
            <w:rFonts w:ascii="Calibri" w:eastAsia="Calibri" w:hAnsi="Calibri" w:cs="Times New Roman"/>
            <w:b/>
            <w:bCs/>
            <w:sz w:val="28"/>
            <w:szCs w:val="28"/>
            <w:lang w:val="en-US"/>
          </w:rPr>
          <w:t>adequate income support</w:t>
        </w:r>
      </w:hyperlink>
      <w:r w:rsidRPr="009A2EF8">
        <w:rPr>
          <w:rFonts w:ascii="Calibri" w:eastAsia="Calibri" w:hAnsi="Calibri" w:cs="Times New Roman"/>
          <w:sz w:val="28"/>
          <w:szCs w:val="28"/>
          <w:lang w:val="en-US"/>
        </w:rPr>
        <w:t> together with help to get a job. This could be by linking out-of-work and in-work benefits, and by helping people to access the benefits they are entitled to</w:t>
      </w:r>
    </w:p>
    <w:p w:rsidR="009A2EF8" w:rsidRPr="009A2EF8" w:rsidRDefault="009A2EF8" w:rsidP="009A2EF8">
      <w:pPr>
        <w:pStyle w:val="Paragrafoelenco"/>
        <w:numPr>
          <w:ilvl w:val="0"/>
          <w:numId w:val="3"/>
        </w:numPr>
        <w:jc w:val="both"/>
        <w:rPr>
          <w:rFonts w:ascii="Calibri" w:eastAsia="Calibri" w:hAnsi="Calibri" w:cs="Times New Roman"/>
          <w:sz w:val="28"/>
          <w:szCs w:val="28"/>
          <w:lang w:val="en-US"/>
        </w:rPr>
      </w:pPr>
      <w:hyperlink r:id="rId13" w:history="1">
        <w:r w:rsidRPr="009A2EF8">
          <w:rPr>
            <w:rFonts w:ascii="Calibri" w:eastAsia="Calibri" w:hAnsi="Calibri" w:cs="Times New Roman"/>
            <w:sz w:val="28"/>
            <w:szCs w:val="28"/>
            <w:lang w:val="en-US"/>
          </w:rPr>
          <w:t xml:space="preserve">inclusive </w:t>
        </w:r>
        <w:proofErr w:type="spellStart"/>
        <w:r w:rsidRPr="009A2EF8">
          <w:rPr>
            <w:rFonts w:ascii="Calibri" w:eastAsia="Calibri" w:hAnsi="Calibri" w:cs="Times New Roman"/>
            <w:sz w:val="28"/>
            <w:szCs w:val="28"/>
            <w:lang w:val="en-US"/>
          </w:rPr>
          <w:t>labour</w:t>
        </w:r>
        <w:proofErr w:type="spellEnd"/>
        <w:r w:rsidRPr="009A2EF8">
          <w:rPr>
            <w:rFonts w:ascii="Calibri" w:eastAsia="Calibri" w:hAnsi="Calibri" w:cs="Times New Roman"/>
            <w:sz w:val="28"/>
            <w:szCs w:val="28"/>
            <w:lang w:val="en-US"/>
          </w:rPr>
          <w:t xml:space="preserve"> markets</w:t>
        </w:r>
      </w:hyperlink>
      <w:r w:rsidRPr="009A2EF8">
        <w:rPr>
          <w:rFonts w:ascii="Calibri" w:eastAsia="Calibri" w:hAnsi="Calibri" w:cs="Times New Roman"/>
          <w:sz w:val="28"/>
          <w:szCs w:val="28"/>
          <w:lang w:val="en-US"/>
        </w:rPr>
        <w:t> – making it easier for people to join the work force, tackling in-work poverty, avoiding poverty traps and disincentives to work</w:t>
      </w:r>
    </w:p>
    <w:p w:rsidR="009A2EF8" w:rsidRDefault="009A2EF8" w:rsidP="009A2EF8">
      <w:pPr>
        <w:pStyle w:val="Paragrafoelenco"/>
        <w:numPr>
          <w:ilvl w:val="0"/>
          <w:numId w:val="3"/>
        </w:numPr>
        <w:jc w:val="both"/>
        <w:rPr>
          <w:rFonts w:ascii="Calibri" w:eastAsia="Calibri" w:hAnsi="Calibri" w:cs="Times New Roman"/>
          <w:sz w:val="28"/>
          <w:szCs w:val="28"/>
          <w:lang w:val="en-US"/>
        </w:rPr>
      </w:pPr>
      <w:hyperlink r:id="rId14" w:history="1">
        <w:r w:rsidRPr="009A2EF8">
          <w:rPr>
            <w:rFonts w:ascii="Calibri" w:eastAsia="Calibri" w:hAnsi="Calibri" w:cs="Times New Roman"/>
            <w:b/>
            <w:bCs/>
            <w:sz w:val="28"/>
            <w:szCs w:val="28"/>
            <w:lang w:val="en-US"/>
          </w:rPr>
          <w:t>access to quality services</w:t>
        </w:r>
      </w:hyperlink>
      <w:r w:rsidRPr="009A2EF8">
        <w:rPr>
          <w:rFonts w:ascii="Calibri" w:eastAsia="Calibri" w:hAnsi="Calibri" w:cs="Times New Roman"/>
          <w:sz w:val="28"/>
          <w:szCs w:val="28"/>
          <w:lang w:val="en-US"/>
        </w:rPr>
        <w:t> helping people participate actively in society, including getting back to work.</w:t>
      </w:r>
    </w:p>
    <w:p w:rsidR="00944603" w:rsidRDefault="00944603" w:rsidP="00944603">
      <w:pPr>
        <w:jc w:val="both"/>
        <w:rPr>
          <w:rFonts w:ascii="Calibri" w:eastAsia="Calibri" w:hAnsi="Calibri" w:cs="Times New Roman"/>
          <w:sz w:val="28"/>
          <w:szCs w:val="28"/>
          <w:lang w:val="en-US"/>
        </w:rPr>
      </w:pPr>
    </w:p>
    <w:p w:rsidR="00944603" w:rsidRDefault="00944603" w:rsidP="00944603">
      <w:pPr>
        <w:jc w:val="both"/>
        <w:rPr>
          <w:rFonts w:ascii="Calibri" w:eastAsia="Calibri" w:hAnsi="Calibri" w:cs="Times New Roman"/>
          <w:sz w:val="28"/>
          <w:szCs w:val="28"/>
          <w:lang w:val="en-US"/>
        </w:rPr>
      </w:pPr>
    </w:p>
    <w:p w:rsidR="00944603" w:rsidRPr="00944603" w:rsidRDefault="00944603" w:rsidP="00944603">
      <w:pPr>
        <w:rPr>
          <w:rStyle w:val="TitoloCarattere"/>
          <w:b/>
          <w:bCs/>
          <w:lang w:val="en-US"/>
        </w:rPr>
      </w:pPr>
      <w:r w:rsidRPr="00944603">
        <w:rPr>
          <w:rStyle w:val="TitoloCarattere"/>
          <w:b/>
          <w:bCs/>
          <w:lang w:val="en-US"/>
        </w:rPr>
        <w:t>UN DESA 2009 - Creating an Inclusive Society: Practical Strategies to Promote Social Integration</w:t>
      </w:r>
    </w:p>
    <w:p w:rsidR="009A2EF8" w:rsidRPr="00944603" w:rsidRDefault="00944603" w:rsidP="00944603">
      <w:pPr>
        <w:jc w:val="both"/>
        <w:rPr>
          <w:rFonts w:ascii="Calibri" w:eastAsia="Calibri" w:hAnsi="Calibri" w:cs="Times New Roman"/>
          <w:sz w:val="28"/>
          <w:szCs w:val="28"/>
          <w:lang w:val="en-US"/>
        </w:rPr>
      </w:pPr>
      <w:r w:rsidRPr="00944603">
        <w:rPr>
          <w:rFonts w:ascii="Calibri" w:eastAsia="Calibri" w:hAnsi="Calibri" w:cs="Times New Roman"/>
          <w:sz w:val="28"/>
          <w:szCs w:val="28"/>
          <w:lang w:val="en-US"/>
        </w:rPr>
        <w:t xml:space="preserve">For Part I of the publication, social inclusion is understood as a process by which efforts are made to ensure equal opportunities for all, regardless of their background, so that they can achieve their full potential in life. It is a multi-dimensional process aimed at creating conditions which enable full and active participation of every member of the society in all aspects of life, including civic, social, economic, and political activities, as well as participation in </w:t>
      </w:r>
      <w:proofErr w:type="spellStart"/>
      <w:r w:rsidRPr="00944603">
        <w:rPr>
          <w:rFonts w:ascii="Calibri" w:eastAsia="Calibri" w:hAnsi="Calibri" w:cs="Times New Roman"/>
          <w:sz w:val="28"/>
          <w:szCs w:val="28"/>
          <w:lang w:val="en-US"/>
        </w:rPr>
        <w:t>decisionmaking</w:t>
      </w:r>
      <w:proofErr w:type="spellEnd"/>
      <w:r w:rsidRPr="00944603">
        <w:rPr>
          <w:rFonts w:ascii="Calibri" w:eastAsia="Calibri" w:hAnsi="Calibri" w:cs="Times New Roman"/>
          <w:sz w:val="28"/>
          <w:szCs w:val="28"/>
          <w:lang w:val="en-US"/>
        </w:rPr>
        <w:t xml:space="preserve"> processes. In Part II of the publication, social inclusion is understood as the process by which societies combat poverty and social exclusion</w:t>
      </w:r>
    </w:p>
    <w:sectPr w:rsidR="009A2EF8" w:rsidRPr="00944603" w:rsidSect="002E61B1">
      <w:pgSz w:w="11906" w:h="16838"/>
      <w:pgMar w:top="851"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4F2" w:rsidRDefault="005364F2" w:rsidP="005364F2">
      <w:pPr>
        <w:spacing w:after="0" w:line="240" w:lineRule="auto"/>
      </w:pPr>
      <w:r>
        <w:separator/>
      </w:r>
    </w:p>
  </w:endnote>
  <w:endnote w:type="continuationSeparator" w:id="0">
    <w:p w:rsidR="005364F2" w:rsidRDefault="005364F2" w:rsidP="00536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4F2" w:rsidRDefault="005364F2" w:rsidP="005364F2">
      <w:pPr>
        <w:spacing w:after="0" w:line="240" w:lineRule="auto"/>
      </w:pPr>
      <w:r>
        <w:separator/>
      </w:r>
    </w:p>
  </w:footnote>
  <w:footnote w:type="continuationSeparator" w:id="0">
    <w:p w:rsidR="005364F2" w:rsidRDefault="005364F2" w:rsidP="005364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44B1F"/>
    <w:multiLevelType w:val="multilevel"/>
    <w:tmpl w:val="55C6F4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9BE5A03"/>
    <w:multiLevelType w:val="multilevel"/>
    <w:tmpl w:val="BC28C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A477B8"/>
    <w:multiLevelType w:val="hybridMultilevel"/>
    <w:tmpl w:val="6FF46AB2"/>
    <w:lvl w:ilvl="0" w:tplc="A14EA4D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364F2"/>
    <w:rsid w:val="00093B50"/>
    <w:rsid w:val="002E61B1"/>
    <w:rsid w:val="00381968"/>
    <w:rsid w:val="003A2456"/>
    <w:rsid w:val="003A568F"/>
    <w:rsid w:val="005364F2"/>
    <w:rsid w:val="00944603"/>
    <w:rsid w:val="009A2EF8"/>
    <w:rsid w:val="00AC4533"/>
    <w:rsid w:val="00B23110"/>
    <w:rsid w:val="00E51F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968"/>
  </w:style>
  <w:style w:type="paragraph" w:styleId="Titolo1">
    <w:name w:val="heading 1"/>
    <w:basedOn w:val="Normale"/>
    <w:next w:val="Normale"/>
    <w:link w:val="Titolo1Carattere"/>
    <w:uiPriority w:val="9"/>
    <w:qFormat/>
    <w:rsid w:val="005364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93B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3A568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364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364F2"/>
  </w:style>
  <w:style w:type="paragraph" w:styleId="Pidipagina">
    <w:name w:val="footer"/>
    <w:basedOn w:val="Normale"/>
    <w:link w:val="PidipaginaCarattere"/>
    <w:uiPriority w:val="99"/>
    <w:semiHidden/>
    <w:unhideWhenUsed/>
    <w:rsid w:val="005364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364F2"/>
  </w:style>
  <w:style w:type="character" w:customStyle="1" w:styleId="apple-converted-space">
    <w:name w:val="apple-converted-space"/>
    <w:basedOn w:val="Carpredefinitoparagrafo"/>
    <w:rsid w:val="005364F2"/>
  </w:style>
  <w:style w:type="character" w:customStyle="1" w:styleId="ipa">
    <w:name w:val="ipa"/>
    <w:basedOn w:val="Carpredefinitoparagrafo"/>
    <w:rsid w:val="005364F2"/>
  </w:style>
  <w:style w:type="character" w:styleId="Collegamentoipertestuale">
    <w:name w:val="Hyperlink"/>
    <w:basedOn w:val="Carpredefinitoparagrafo"/>
    <w:uiPriority w:val="99"/>
    <w:semiHidden/>
    <w:unhideWhenUsed/>
    <w:rsid w:val="005364F2"/>
    <w:rPr>
      <w:color w:val="0000FF"/>
      <w:u w:val="single"/>
    </w:rPr>
  </w:style>
  <w:style w:type="character" w:customStyle="1" w:styleId="Titolo1Carattere">
    <w:name w:val="Titolo 1 Carattere"/>
    <w:basedOn w:val="Carpredefinitoparagrafo"/>
    <w:link w:val="Titolo1"/>
    <w:uiPriority w:val="9"/>
    <w:rsid w:val="005364F2"/>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5364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364F2"/>
    <w:rPr>
      <w:rFonts w:asciiTheme="majorHAnsi" w:eastAsiaTheme="majorEastAsia" w:hAnsiTheme="majorHAnsi" w:cstheme="majorBidi"/>
      <w:color w:val="17365D" w:themeColor="text2" w:themeShade="BF"/>
      <w:spacing w:val="5"/>
      <w:kern w:val="28"/>
      <w:sz w:val="52"/>
      <w:szCs w:val="52"/>
    </w:rPr>
  </w:style>
  <w:style w:type="paragraph" w:styleId="NormaleWeb">
    <w:name w:val="Normal (Web)"/>
    <w:basedOn w:val="Normale"/>
    <w:uiPriority w:val="99"/>
    <w:semiHidden/>
    <w:unhideWhenUsed/>
    <w:rsid w:val="005364F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3A568F"/>
    <w:rPr>
      <w:rFonts w:ascii="Times New Roman" w:eastAsia="Times New Roman" w:hAnsi="Times New Roman" w:cs="Times New Roman"/>
      <w:b/>
      <w:bCs/>
      <w:sz w:val="27"/>
      <w:szCs w:val="27"/>
      <w:lang w:eastAsia="it-IT"/>
    </w:rPr>
  </w:style>
  <w:style w:type="paragraph" w:customStyle="1" w:styleId="bodytext">
    <w:name w:val="bodytext"/>
    <w:basedOn w:val="Normale"/>
    <w:rsid w:val="003A56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C4533"/>
    <w:rPr>
      <w:b/>
      <w:bCs/>
    </w:rPr>
  </w:style>
  <w:style w:type="character" w:customStyle="1" w:styleId="Titolo2Carattere">
    <w:name w:val="Titolo 2 Carattere"/>
    <w:basedOn w:val="Carpredefinitoparagrafo"/>
    <w:link w:val="Titolo2"/>
    <w:uiPriority w:val="9"/>
    <w:semiHidden/>
    <w:rsid w:val="00093B50"/>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9A2EF8"/>
    <w:pPr>
      <w:ind w:left="720"/>
      <w:contextualSpacing/>
    </w:pPr>
  </w:style>
</w:styles>
</file>

<file path=word/webSettings.xml><?xml version="1.0" encoding="utf-8"?>
<w:webSettings xmlns:r="http://schemas.openxmlformats.org/officeDocument/2006/relationships" xmlns:w="http://schemas.openxmlformats.org/wordprocessingml/2006/main">
  <w:divs>
    <w:div w:id="203638772">
      <w:bodyDiv w:val="1"/>
      <w:marLeft w:val="0"/>
      <w:marRight w:val="0"/>
      <w:marTop w:val="0"/>
      <w:marBottom w:val="0"/>
      <w:divBdr>
        <w:top w:val="none" w:sz="0" w:space="0" w:color="auto"/>
        <w:left w:val="none" w:sz="0" w:space="0" w:color="auto"/>
        <w:bottom w:val="none" w:sz="0" w:space="0" w:color="auto"/>
        <w:right w:val="none" w:sz="0" w:space="0" w:color="auto"/>
      </w:divBdr>
    </w:div>
    <w:div w:id="386101703">
      <w:bodyDiv w:val="1"/>
      <w:marLeft w:val="0"/>
      <w:marRight w:val="0"/>
      <w:marTop w:val="0"/>
      <w:marBottom w:val="0"/>
      <w:divBdr>
        <w:top w:val="none" w:sz="0" w:space="0" w:color="auto"/>
        <w:left w:val="none" w:sz="0" w:space="0" w:color="auto"/>
        <w:bottom w:val="none" w:sz="0" w:space="0" w:color="auto"/>
        <w:right w:val="none" w:sz="0" w:space="0" w:color="auto"/>
      </w:divBdr>
    </w:div>
    <w:div w:id="1137139980">
      <w:bodyDiv w:val="1"/>
      <w:marLeft w:val="0"/>
      <w:marRight w:val="0"/>
      <w:marTop w:val="0"/>
      <w:marBottom w:val="0"/>
      <w:divBdr>
        <w:top w:val="none" w:sz="0" w:space="0" w:color="auto"/>
        <w:left w:val="none" w:sz="0" w:space="0" w:color="auto"/>
        <w:bottom w:val="none" w:sz="0" w:space="0" w:color="auto"/>
        <w:right w:val="none" w:sz="0" w:space="0" w:color="auto"/>
      </w:divBdr>
    </w:div>
    <w:div w:id="1603418455">
      <w:bodyDiv w:val="1"/>
      <w:marLeft w:val="0"/>
      <w:marRight w:val="0"/>
      <w:marTop w:val="0"/>
      <w:marBottom w:val="0"/>
      <w:divBdr>
        <w:top w:val="none" w:sz="0" w:space="0" w:color="auto"/>
        <w:left w:val="none" w:sz="0" w:space="0" w:color="auto"/>
        <w:bottom w:val="none" w:sz="0" w:space="0" w:color="auto"/>
        <w:right w:val="none" w:sz="0" w:space="0" w:color="auto"/>
      </w:divBdr>
    </w:div>
    <w:div w:id="19287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dian_people" TargetMode="External"/><Relationship Id="rId13" Type="http://schemas.openxmlformats.org/officeDocument/2006/relationships/hyperlink" Target="http://ec.europa.eu/social/main.jsp?catId=1134&amp;langI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social/main.jsp?catId=1092&amp;langId=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Welfare_econom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Bharat_Ratna" TargetMode="External"/><Relationship Id="rId4" Type="http://schemas.openxmlformats.org/officeDocument/2006/relationships/settings" Target="settings.xml"/><Relationship Id="rId9" Type="http://schemas.openxmlformats.org/officeDocument/2006/relationships/hyperlink" Target="https://en.wikipedia.org/wiki/Nobel_Memorial_Prize_in_Economic_Sciences" TargetMode="External"/><Relationship Id="rId14" Type="http://schemas.openxmlformats.org/officeDocument/2006/relationships/hyperlink" Target="http://ec.europa.eu/social/main.jsp?catId=1169&amp;langId=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7024B-02B1-40B7-A29F-1AE2D371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1029</Words>
  <Characters>5869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uniamocionlus</dc:creator>
  <cp:lastModifiedBy>uniamocionlus</cp:lastModifiedBy>
  <cp:revision>12</cp:revision>
  <dcterms:created xsi:type="dcterms:W3CDTF">2016-11-10T16:57:00Z</dcterms:created>
  <dcterms:modified xsi:type="dcterms:W3CDTF">2016-11-11T14:27:00Z</dcterms:modified>
</cp:coreProperties>
</file>